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5F1D9F9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AB6AAB">
        <w:rPr>
          <w:noProof w:val="0"/>
          <w:sz w:val="24"/>
          <w:szCs w:val="24"/>
        </w:rPr>
        <w:t>5</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BE7092">
        <w:rPr>
          <w:bCs/>
          <w:noProof w:val="0"/>
          <w:sz w:val="24"/>
          <w:szCs w:val="24"/>
        </w:rPr>
        <w:t>1868</w:t>
      </w:r>
    </w:p>
    <w:p w14:paraId="1822B173" w14:textId="0BD46A51"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AB6AAB">
        <w:rPr>
          <w:rFonts w:cs="Arial"/>
          <w:sz w:val="24"/>
          <w:szCs w:val="24"/>
        </w:rPr>
        <w:t>21 February</w:t>
      </w:r>
      <w:r w:rsidR="00AB6AAB" w:rsidRPr="00102718">
        <w:rPr>
          <w:rFonts w:cs="Arial"/>
          <w:sz w:val="24"/>
          <w:szCs w:val="24"/>
        </w:rPr>
        <w:t xml:space="preserve"> – </w:t>
      </w:r>
      <w:r w:rsidR="00AB6AAB">
        <w:rPr>
          <w:rFonts w:cs="Arial"/>
          <w:sz w:val="24"/>
          <w:szCs w:val="24"/>
        </w:rPr>
        <w:t>3</w:t>
      </w:r>
      <w:r w:rsidR="00AB6AAB" w:rsidRPr="00102718">
        <w:rPr>
          <w:rFonts w:cs="Arial"/>
          <w:sz w:val="24"/>
          <w:szCs w:val="24"/>
        </w:rPr>
        <w:t xml:space="preserve"> </w:t>
      </w:r>
      <w:r w:rsidR="00AB6AAB">
        <w:rPr>
          <w:rFonts w:cs="Arial"/>
          <w:sz w:val="24"/>
          <w:szCs w:val="24"/>
        </w:rPr>
        <w:t>March</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3A634A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16366" w:rsidRPr="00516366">
        <w:rPr>
          <w:rFonts w:cs="Arial"/>
          <w:b/>
          <w:bCs/>
          <w:sz w:val="24"/>
          <w:lang w:val="en-US" w:eastAsia="ja-JP"/>
        </w:rPr>
        <w:t>10.3.2.2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61F8E3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29A2">
        <w:rPr>
          <w:rFonts w:ascii="Arial" w:hAnsi="Arial" w:cs="Arial"/>
          <w:b/>
          <w:bCs/>
          <w:sz w:val="24"/>
        </w:rPr>
        <w:t>A</w:t>
      </w:r>
      <w:r w:rsidR="00516366">
        <w:rPr>
          <w:rFonts w:ascii="Arial" w:hAnsi="Arial" w:cs="Arial"/>
          <w:b/>
          <w:bCs/>
          <w:sz w:val="24"/>
        </w:rPr>
        <w:t xml:space="preserve">ctivation of </w:t>
      </w:r>
      <w:r w:rsidR="000229A2">
        <w:rPr>
          <w:rFonts w:ascii="Arial" w:hAnsi="Arial" w:cs="Arial"/>
          <w:b/>
          <w:bCs/>
          <w:sz w:val="24"/>
        </w:rPr>
        <w:t xml:space="preserve">signalling-based </w:t>
      </w:r>
      <w:r w:rsidR="001E5C8C">
        <w:rPr>
          <w:rFonts w:ascii="Arial" w:hAnsi="Arial" w:cs="Arial"/>
          <w:b/>
          <w:bCs/>
          <w:sz w:val="24"/>
        </w:rPr>
        <w:t xml:space="preserve">immediate </w:t>
      </w:r>
      <w:r w:rsidR="00516366">
        <w:rPr>
          <w:rFonts w:ascii="Arial" w:hAnsi="Arial" w:cs="Arial"/>
          <w:b/>
          <w:bCs/>
          <w:sz w:val="24"/>
        </w:rPr>
        <w:t>MDT in MN/SN</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97FEC73" w:rsidR="00CD4C7B" w:rsidRDefault="00516366" w:rsidP="00CD4C7B">
      <w:r>
        <w:t xml:space="preserve">We here further discuss the topic of </w:t>
      </w:r>
      <w:r w:rsidR="00B6118A">
        <w:t xml:space="preserve">selective </w:t>
      </w:r>
      <w:r>
        <w:t>a</w:t>
      </w:r>
      <w:r w:rsidRPr="00516366">
        <w:t>ctivation of MDT in MN/SN in case of MR-DC</w:t>
      </w:r>
      <w:r>
        <w:t xml:space="preserve"> which was raised at RAN3#114bis-e.</w:t>
      </w:r>
    </w:p>
    <w:p w14:paraId="479DA40B" w14:textId="77777777" w:rsidR="00CD4C7B" w:rsidRPr="006E13D1" w:rsidRDefault="00CD4C7B" w:rsidP="00CD4C7B">
      <w:pPr>
        <w:pStyle w:val="Heading1"/>
      </w:pPr>
      <w:r w:rsidRPr="006E13D1">
        <w:t>2</w:t>
      </w:r>
      <w:r w:rsidRPr="006E13D1">
        <w:tab/>
      </w:r>
      <w:r w:rsidR="00972FD7">
        <w:t>Discussion</w:t>
      </w:r>
    </w:p>
    <w:p w14:paraId="5448918C" w14:textId="56BBCED6" w:rsidR="00B6118A" w:rsidRDefault="00B6118A" w:rsidP="00B6118A">
      <w:r>
        <w:t xml:space="preserve">Trace and MDT are </w:t>
      </w:r>
      <w:r w:rsidR="0063702B">
        <w:t>parts of</w:t>
      </w:r>
      <w:r>
        <w:t xml:space="preserve"> the same framework</w:t>
      </w:r>
      <w:r w:rsidR="0063702B">
        <w:t xml:space="preserve"> specified in TS 32.422</w:t>
      </w:r>
      <w:r>
        <w:t xml:space="preserve">. </w:t>
      </w:r>
      <w:r w:rsidR="004948A1">
        <w:t>In case of signalling-based (s-based) activation, i</w:t>
      </w:r>
      <w:r>
        <w:t>n legacy specification both MN and SN (</w:t>
      </w:r>
      <w:r w:rsidR="00343970">
        <w:t>in</w:t>
      </w:r>
      <w:r>
        <w:t xml:space="preserve"> </w:t>
      </w:r>
      <w:r w:rsidR="00343970">
        <w:t>case of dual connectivity</w:t>
      </w:r>
      <w:r>
        <w:t>) are traced as per mandate in TS 38.423: "</w:t>
      </w: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w:t>
      </w:r>
      <w:r>
        <w:t xml:space="preserve">" This mandate was introduced in Rel-16, but RAN3 also agreed to not </w:t>
      </w:r>
      <w:r w:rsidR="00343970">
        <w:t>mandate actions related to MDT in the SN in that release. So requirements for MDT in the SN are being introduced in Rel-17 and already captured in the XnAP MDT BL CR.</w:t>
      </w:r>
      <w:r w:rsidR="00B10F97">
        <w:t xml:space="preserve"> RAN3 has also agreed:</w:t>
      </w:r>
    </w:p>
    <w:p w14:paraId="7DFACF5D" w14:textId="19F22B02" w:rsidR="00B10F97" w:rsidRDefault="00B10F97" w:rsidP="00B6118A">
      <w:r>
        <w:rPr>
          <w:rFonts w:ascii="Calibri" w:hAnsi="Calibri" w:cs="Calibri"/>
          <w:iCs/>
          <w:color w:val="00B050"/>
          <w:kern w:val="2"/>
          <w:sz w:val="16"/>
          <w:szCs w:val="16"/>
        </w:rPr>
        <w:t>For NR-DC, same MDT configuration in MN and SN nodes is sufficient in Rel-17.</w:t>
      </w:r>
    </w:p>
    <w:p w14:paraId="5C6D21BE" w14:textId="2D955C4B" w:rsidR="00343970" w:rsidRDefault="001E5C8C" w:rsidP="00B6118A">
      <w:r>
        <w:t>Mechanism for differentiated activation of s-based immediate MDT in MN vs. SN was discussed at RAN3#114bis-e [1]. However we believe further analysis of such differentiation should take into account the categories of MDT measurements, e.g. radio measurements (</w:t>
      </w:r>
      <w:r w:rsidR="00575EB6">
        <w:t>in particular</w:t>
      </w:r>
      <w:r>
        <w:t xml:space="preserve"> M1, M2) and UP measurements (</w:t>
      </w:r>
      <w:r w:rsidR="00575EB6">
        <w:t>M4, M5, M6, M7). For UP-related measurements, absence of transfer of the MDT configuration to the SN would impact radio measurements in the SN and UP measurements for all SN-terminated bearers (i.e. SN-terminated SCG bearers and SN-terminated MCG bearers). On the other side, UP measurements for MN-terminated SCG bearers would still be done.</w:t>
      </w:r>
      <w:r w:rsidR="00160D6E">
        <w:t xml:space="preserve"> From a functional point of view the use case for this resulting differentiation is unclear.</w:t>
      </w:r>
    </w:p>
    <w:p w14:paraId="3920B0BC" w14:textId="622EA290" w:rsidR="00575EB6" w:rsidRDefault="00575EB6" w:rsidP="00B6118A">
      <w:r>
        <w:t xml:space="preserve">Similarly, if filtering is set to </w:t>
      </w:r>
      <w:r w:rsidR="004372AA">
        <w:t>"SN only"</w:t>
      </w:r>
      <w:r w:rsidR="00E52067">
        <w:t>, hence excluding the MN</w:t>
      </w:r>
      <w:r w:rsidR="004372AA">
        <w:t xml:space="preserve">, </w:t>
      </w:r>
      <w:r w:rsidR="00E52067">
        <w:t>UP measurements would also be provided for SN-terminated MCG bearers but not any simultaneously requested radio measurements (under responsibility of the MN).</w:t>
      </w:r>
    </w:p>
    <w:p w14:paraId="321F6BBE" w14:textId="0EA6C585" w:rsidR="00E52067" w:rsidRDefault="00E52067" w:rsidP="00B6118A">
      <w:r>
        <w:t>Also, from an E2E view point, signalling activation of "SN only" would lead to absence of any MDT information being recorded if the RAN decides not to activate any form of DC. We don't see clear</w:t>
      </w:r>
      <w:r w:rsidR="004018E4">
        <w:t xml:space="preserve"> practical</w:t>
      </w:r>
      <w:r>
        <w:t xml:space="preserve"> use case for such </w:t>
      </w:r>
      <w:r w:rsidR="004018E4">
        <w:t>configuration, considering that signalling activation is done for specific UEs only</w:t>
      </w:r>
      <w:r>
        <w:t>.</w:t>
      </w:r>
    </w:p>
    <w:p w14:paraId="5E715482" w14:textId="1CC2CB70" w:rsidR="00575EB6" w:rsidRDefault="00B10F97" w:rsidP="00B6118A">
      <w:r>
        <w:t xml:space="preserve">Based on this, we believe that the </w:t>
      </w:r>
      <w:r w:rsidR="004018E4">
        <w:t xml:space="preserve">solution for activation of signalling based immediate MDT in the SN </w:t>
      </w:r>
      <w:r>
        <w:t>captured in current BL CR for XnAP is a good approach for Rel-17.</w:t>
      </w:r>
    </w:p>
    <w:p w14:paraId="05B80A6D" w14:textId="6CA600E0" w:rsidR="00B6118A" w:rsidRPr="004018E4" w:rsidRDefault="004018E4" w:rsidP="00B6118A">
      <w:pPr>
        <w:rPr>
          <w:b/>
          <w:bCs/>
        </w:rPr>
      </w:pPr>
      <w:r w:rsidRPr="004018E4">
        <w:rPr>
          <w:b/>
          <w:bCs/>
        </w:rPr>
        <w:t>Conclusion</w:t>
      </w:r>
      <w:r w:rsidR="00B10F97" w:rsidRPr="004018E4">
        <w:rPr>
          <w:b/>
          <w:bCs/>
        </w:rPr>
        <w:t xml:space="preserve">: </w:t>
      </w:r>
      <w:r w:rsidRPr="004018E4">
        <w:rPr>
          <w:b/>
          <w:bCs/>
        </w:rPr>
        <w:t>The solution for activation of signalling based immediate MDT in the SN captured in current BL CR for XnAP is a good approach for Rel-17</w:t>
      </w:r>
      <w:r>
        <w:rPr>
          <w:b/>
          <w:bCs/>
        </w:rPr>
        <w:t>.</w:t>
      </w:r>
    </w:p>
    <w:p w14:paraId="0D110258" w14:textId="77777777" w:rsidR="00CD4C7B" w:rsidRPr="006E13D1" w:rsidRDefault="00972FD7" w:rsidP="00CD4C7B">
      <w:pPr>
        <w:pStyle w:val="Heading1"/>
      </w:pPr>
      <w:r>
        <w:t>3</w:t>
      </w:r>
      <w:r w:rsidR="00CD4C7B" w:rsidRPr="006E13D1">
        <w:tab/>
      </w:r>
      <w:r>
        <w:t>Conclusion</w:t>
      </w:r>
    </w:p>
    <w:p w14:paraId="6E75276D" w14:textId="377C90AE" w:rsidR="004018E4" w:rsidRPr="004018E4" w:rsidRDefault="004018E4" w:rsidP="004018E4">
      <w:pPr>
        <w:rPr>
          <w:b/>
          <w:bCs/>
        </w:rPr>
      </w:pPr>
      <w:r w:rsidRPr="004018E4">
        <w:rPr>
          <w:b/>
          <w:bCs/>
        </w:rPr>
        <w:t>Conclusion: The solution for activation of signalling based immediate MDT in the SN captured in current BL CR for XnAP is a good approach for Rel-17</w:t>
      </w:r>
      <w:r>
        <w:rPr>
          <w:b/>
          <w:bCs/>
        </w:rPr>
        <w:t>.</w:t>
      </w:r>
    </w:p>
    <w:p w14:paraId="193FD945" w14:textId="77777777" w:rsidR="00CD4C7B" w:rsidRPr="006E13D1" w:rsidRDefault="00CD4C7B" w:rsidP="00CD4C7B">
      <w:pPr>
        <w:pStyle w:val="Heading1"/>
      </w:pPr>
      <w:r w:rsidRPr="006E13D1">
        <w:lastRenderedPageBreak/>
        <w:t>References</w:t>
      </w:r>
    </w:p>
    <w:p w14:paraId="455ABEB4" w14:textId="0507CFE7"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tab/>
        <w:t>R3-2</w:t>
      </w:r>
      <w:r w:rsidR="004C5539">
        <w:t>2</w:t>
      </w:r>
      <w:r w:rsidR="004372AA">
        <w:t>0587</w:t>
      </w:r>
      <w:r w:rsidRPr="006E13D1">
        <w:t xml:space="preserve">, </w:t>
      </w:r>
      <w:r w:rsidR="004372AA" w:rsidRPr="004372AA">
        <w:t>(TP for MDT BL CR for TS 38.413, TS 38.423) Signalling based immediate MDT in NR-DC</w:t>
      </w:r>
    </w:p>
    <w:bookmarkEnd w:id="2"/>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603DA" w14:textId="77777777" w:rsidR="00604628" w:rsidRDefault="00604628">
      <w:r>
        <w:separator/>
      </w:r>
    </w:p>
  </w:endnote>
  <w:endnote w:type="continuationSeparator" w:id="0">
    <w:p w14:paraId="6CCB0ECF" w14:textId="77777777" w:rsidR="00604628" w:rsidRDefault="0060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CE9CC" w14:textId="77777777" w:rsidR="00604628" w:rsidRDefault="00604628">
      <w:r>
        <w:separator/>
      </w:r>
    </w:p>
  </w:footnote>
  <w:footnote w:type="continuationSeparator" w:id="0">
    <w:p w14:paraId="181BA33B" w14:textId="77777777" w:rsidR="00604628" w:rsidRDefault="00604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29A2"/>
    <w:rsid w:val="00033397"/>
    <w:rsid w:val="000342C7"/>
    <w:rsid w:val="00040095"/>
    <w:rsid w:val="0005563E"/>
    <w:rsid w:val="00080512"/>
    <w:rsid w:val="00083F0D"/>
    <w:rsid w:val="000B7BCF"/>
    <w:rsid w:val="000C556D"/>
    <w:rsid w:val="000D376D"/>
    <w:rsid w:val="000D58AB"/>
    <w:rsid w:val="001075B7"/>
    <w:rsid w:val="001370F2"/>
    <w:rsid w:val="001549DD"/>
    <w:rsid w:val="00160D6E"/>
    <w:rsid w:val="00194CD0"/>
    <w:rsid w:val="001B08B3"/>
    <w:rsid w:val="001C4281"/>
    <w:rsid w:val="001D0D3F"/>
    <w:rsid w:val="001E39D1"/>
    <w:rsid w:val="001E5C8C"/>
    <w:rsid w:val="001F168B"/>
    <w:rsid w:val="001F70B7"/>
    <w:rsid w:val="00225F6D"/>
    <w:rsid w:val="0022606D"/>
    <w:rsid w:val="002305DD"/>
    <w:rsid w:val="00243BC7"/>
    <w:rsid w:val="002623FC"/>
    <w:rsid w:val="002747EC"/>
    <w:rsid w:val="002855BF"/>
    <w:rsid w:val="002953B2"/>
    <w:rsid w:val="002E1692"/>
    <w:rsid w:val="002F0D22"/>
    <w:rsid w:val="003172DC"/>
    <w:rsid w:val="00326069"/>
    <w:rsid w:val="00343970"/>
    <w:rsid w:val="003454FC"/>
    <w:rsid w:val="0035462D"/>
    <w:rsid w:val="00363177"/>
    <w:rsid w:val="003702F7"/>
    <w:rsid w:val="003B3FB3"/>
    <w:rsid w:val="003C4E37"/>
    <w:rsid w:val="003E1194"/>
    <w:rsid w:val="003E16BE"/>
    <w:rsid w:val="003E7223"/>
    <w:rsid w:val="00401855"/>
    <w:rsid w:val="004018E4"/>
    <w:rsid w:val="004372AA"/>
    <w:rsid w:val="00464695"/>
    <w:rsid w:val="004948A1"/>
    <w:rsid w:val="004C5539"/>
    <w:rsid w:val="004D3578"/>
    <w:rsid w:val="004D380D"/>
    <w:rsid w:val="004D3F58"/>
    <w:rsid w:val="004D5E47"/>
    <w:rsid w:val="004E213A"/>
    <w:rsid w:val="004E21FC"/>
    <w:rsid w:val="00503171"/>
    <w:rsid w:val="005153FE"/>
    <w:rsid w:val="00516366"/>
    <w:rsid w:val="005240A4"/>
    <w:rsid w:val="00531C12"/>
    <w:rsid w:val="00534DA0"/>
    <w:rsid w:val="00540B31"/>
    <w:rsid w:val="00543E6C"/>
    <w:rsid w:val="00544635"/>
    <w:rsid w:val="00565087"/>
    <w:rsid w:val="0056573F"/>
    <w:rsid w:val="00565BE9"/>
    <w:rsid w:val="00571CE2"/>
    <w:rsid w:val="00575EB6"/>
    <w:rsid w:val="00584FD9"/>
    <w:rsid w:val="005A4971"/>
    <w:rsid w:val="005B1232"/>
    <w:rsid w:val="005B2EEF"/>
    <w:rsid w:val="005D4274"/>
    <w:rsid w:val="00604628"/>
    <w:rsid w:val="00605E3E"/>
    <w:rsid w:val="00606DA9"/>
    <w:rsid w:val="00611566"/>
    <w:rsid w:val="0063702B"/>
    <w:rsid w:val="00656E1E"/>
    <w:rsid w:val="006604E4"/>
    <w:rsid w:val="006C54B5"/>
    <w:rsid w:val="006D1E24"/>
    <w:rsid w:val="00702BDF"/>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B6AAB"/>
    <w:rsid w:val="00AD4BCF"/>
    <w:rsid w:val="00AF4A8E"/>
    <w:rsid w:val="00AF78D5"/>
    <w:rsid w:val="00B1063A"/>
    <w:rsid w:val="00B10F97"/>
    <w:rsid w:val="00B15449"/>
    <w:rsid w:val="00B6118A"/>
    <w:rsid w:val="00B9781E"/>
    <w:rsid w:val="00BE7092"/>
    <w:rsid w:val="00BF79F1"/>
    <w:rsid w:val="00C03035"/>
    <w:rsid w:val="00C275BC"/>
    <w:rsid w:val="00C33079"/>
    <w:rsid w:val="00C365F1"/>
    <w:rsid w:val="00C43B31"/>
    <w:rsid w:val="00C50536"/>
    <w:rsid w:val="00C55EB7"/>
    <w:rsid w:val="00CA3D0C"/>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52067"/>
    <w:rsid w:val="00E62835"/>
    <w:rsid w:val="00E77645"/>
    <w:rsid w:val="00E852FF"/>
    <w:rsid w:val="00E90ABE"/>
    <w:rsid w:val="00EA1D56"/>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8E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289</TotalTime>
  <Pages>2</Pages>
  <Words>454</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27</cp:revision>
  <dcterms:created xsi:type="dcterms:W3CDTF">2019-06-29T13:33:00Z</dcterms:created>
  <dcterms:modified xsi:type="dcterms:W3CDTF">2022-02-10T20:25:00Z</dcterms:modified>
</cp:coreProperties>
</file>